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НОВОСИБИРСКИЙ ОБЛАСТНОЙ ФОНД СОХРАНЕНИЯ И РАЗВИТИЯ РУССКОГО ЯЗЫКА «РОДНОЕ СЛОВО»</w:t>
      </w:r>
    </w:p>
    <w:p>
      <w:pPr>
        <w:pStyle w:val="12"/>
        <w:spacing w:before="200" w:after="20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ФИЛОСОФИИ И ГУМАНИТАРНЫХ НАУК </w:t>
        <w:br/>
        <w:t>ФГБОУ ВО «НГУЭУ»</w:t>
      </w:r>
    </w:p>
    <w:p>
      <w:pPr>
        <w:pStyle w:val="NoSpacing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</w:t>
      </w:r>
    </w:p>
    <w:p>
      <w:pPr>
        <w:pStyle w:val="12"/>
        <w:spacing w:lineRule="auto" w:line="240" w:before="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межрегионального конкурса «ПРОчитал – ПРОдвинь книгу: открытия в современной детско-юношеской литературе» в 2024 году</w:t>
      </w:r>
    </w:p>
    <w:p>
      <w:pPr>
        <w:pStyle w:val="12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 Общие положения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определяет порядок организации и проведения межрегионального конкурса «ПРОчитал – ПРОдвинь книгу: открытия в современной детско-юношеской литературе» в 2024 году (далее – Конкурс).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Организаторами Конкурса являются Новосибирский областной фонд сохранения и развития русского языка «Родное слово», кафедра философии и гуманитарных наук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управления» (далее – ФГБОУ ВО «НГУЭУ»). Конкурс проводится при поддержке министерства образования Новосибирской области, министерства культуры Новосибирской области, комиссии по культуре, культурному наследию, патриотическому и духовно-нравственному воспитанию граждан Общественной палаты Новосибирской области, Центра русского языка Новосибирской государственной областной научной библиотеки, Новосибирского библиотечного общества.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Операторами Конкурса являются Новосибирский областной фонд сохранения и развития русского языка «Родное слово» 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кафедра философии и гуманитарных наук ФГБОУ ВО «НГУЭУ».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Общее руководство подготовкой и проведением Конкурса осуществляет рабочая группа по обеспечению организации и проведения конкурса.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Экспертизу представленных на Конкурс материалов осуществляет конкурсная комиссия (далее – жюри).</w:t>
      </w:r>
    </w:p>
    <w:p>
      <w:pPr>
        <w:pStyle w:val="12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 Цели и задачи</w:t>
      </w:r>
    </w:p>
    <w:p>
      <w:pPr>
        <w:pStyle w:val="12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2.1. Конкурс проводится в целях формирования и развития интереса к чтению, популяризации произведений современной отечественной и зарубежной детско-юношеской литературы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как источников важнейших духовно-нравственных и социальных ценностей в молодежной среде.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Задачи конкурса: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поддержка творческих форм приобщения к чтению;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создание коллекции презентаций и буктрейлеров для дальнейшего использования в целях продвижения книги и чтения в молодёжной среде: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стимулировать творческие способности молодежи к литературно-критическому творчеству с целью получения нового личностного опыта.</w:t>
      </w:r>
    </w:p>
    <w:p>
      <w:pPr>
        <w:pStyle w:val="12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Участники конкурса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В конкурсе принимают участие учащиеся 8–11 классов общеобразовательных организаций, магистранты, студенты бакалавриата, студенты колледжей, родители/законные представители, учителя общеобразовательных организаций, преподаватели вузов и колледжей, библиотечные специалисты образовательных организаций и публичных библиотек, педагоги учреждений дополнительного образования Новосибирской области (далее – участники).</w:t>
      </w:r>
    </w:p>
    <w:p>
      <w:pPr>
        <w:pStyle w:val="12"/>
        <w:spacing w:lineRule="auto" w:line="240" w:before="0" w:after="0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Участие в Конкурсе добровольное.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Допускается только индивидуальное участие участников IV категории. Допускается как индивидуальное участие, так и командное участие участников I–III категорий (2–3 участника),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V категория (3-4 </w:t>
      </w:r>
      <w:r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>
      <w:pPr>
        <w:pStyle w:val="12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Номинации 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>, категории участников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Презентация по произведению современной отечественной или зарубежной детско-юношеской литературы начала XXI в.;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Буктрейлер по произведению современной отечественной или зарубежной детско-юношеской литературы начала XXI в.;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    </w:t>
      </w:r>
      <w:r>
        <w:rPr>
          <w:rFonts w:ascii="Times New Roman" w:hAnsi="Times New Roman"/>
          <w:sz w:val="28"/>
          <w:szCs w:val="28"/>
        </w:rPr>
        <w:t>Читательское эссе по произведению современной отечественной или зарубежной детско-юношеской литературы начала XXI в.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Устанавливаются следующие категории участников: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категория – учащиеся 8–11 классов;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категория – студенты бакалавриата,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магистранты;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категория – студенты колледжей;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категория – учителя общеобразовательных организаций, преподаватели вузов и колледжей, педагоги учреждений дополнительного образования; библиотечные специалисты образовательных организаций и общедоступных библиотек;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категория – семейная команда (родители/законные представители, дети школьного возраста, воспитывающиеся в данной семье).</w:t>
      </w:r>
    </w:p>
    <w:p>
      <w:pPr>
        <w:pStyle w:val="12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Сроки, порядок и организация проведения Конкурса</w:t>
      </w:r>
    </w:p>
    <w:p>
      <w:pPr>
        <w:pStyle w:val="12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Конкурс проводится в заочной форме.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Конкурс проводится </w:t>
      </w:r>
      <w:r>
        <w:rPr>
          <w:rFonts w:ascii="Times New Roman" w:hAnsi="Times New Roman"/>
          <w:b/>
          <w:sz w:val="28"/>
          <w:szCs w:val="28"/>
        </w:rPr>
        <w:t>с 12 февраля до 24 мая 2024 года</w:t>
      </w:r>
      <w:r>
        <w:rPr>
          <w:rFonts w:ascii="Times New Roman" w:hAnsi="Times New Roman"/>
          <w:sz w:val="28"/>
          <w:szCs w:val="28"/>
        </w:rPr>
        <w:t xml:space="preserve"> и включает: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–</w:t>
      </w:r>
      <w:r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 апреля 2024 года,</w:t>
      </w:r>
      <w:r>
        <w:rPr>
          <w:rFonts w:ascii="Times New Roman" w:hAnsi="Times New Roman"/>
          <w:sz w:val="28"/>
          <w:szCs w:val="28"/>
        </w:rPr>
        <w:t xml:space="preserve"> подготовка конкурсной работы; отправка анкеты-заявки на участие в Конкурсе (в электронном варианте) со ссылкой на файлообменник (Яндекс Диск, Google Диск и т.п.) для скачивания конкурсной работы. Ссылка на работу добавляется в соответствующую графу в анкете-заявке (см. Приложение). Убедитесь, что файл имеет свободный доступ. 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этап – </w:t>
      </w:r>
      <w:r>
        <w:rPr>
          <w:rFonts w:ascii="Times New Roman" w:hAnsi="Times New Roman"/>
          <w:b/>
          <w:sz w:val="28"/>
          <w:szCs w:val="28"/>
        </w:rPr>
        <w:t>24 мая (День славянской письменности и культуры) 2024 года</w:t>
      </w:r>
      <w:r>
        <w:rPr>
          <w:rFonts w:ascii="Times New Roman" w:hAnsi="Times New Roman"/>
          <w:sz w:val="28"/>
          <w:szCs w:val="28"/>
        </w:rPr>
        <w:t>, определение победителей, объявление результатов Конкурса.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награждения победителей и призёров конкурса будут сообщены им индивидуально.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Не подлежат рассмотрению работы, представленные с нарушением требований к оформлению или с нарушением установленных сроков.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На конкурс принимаются работы, которые не участвовали в других конкурсах. Предоставленные на Конкурс работы не рецензируются.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Конкурсные работы должны быть авторскими, т.е. разработанными непосредственно участниками Конкурса.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Организаторы Конкурса оставляют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Конкурсная работа принимается к рассмотрению только при наличии заполненной по установленному образцу анкеты-заявки на участие в Конкурсе (Приложение 1).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Анкета-заявка должна быть отправлена на электронную почту</w:t>
      </w:r>
    </w:p>
    <w:p>
      <w:pPr>
        <w:pStyle w:val="1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(prochital.knigu@yandex.ru) в виде электронного файла в формате Word и должна содержать ссылку на файлообменник (Яндекс Диск и т.п.) для скачивания конкурсной работы.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5.7. Критерии оценивания конкурсных работ утверждаются данным Положением.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5.8. На основании протоколов оценивания составляются рейтинговые списки участников Конкурса. На основании рейтинговых списков выявляются победители Конкурса (в каждой номинации). Победители (1 место) и призеры (2 и 3 место) Конкурса награждаются дипломами I, II и III степени.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ascii="Times New Roman" w:hAnsi="Times New Roman"/>
          <w:sz w:val="28"/>
          <w:szCs w:val="28"/>
        </w:rPr>
        <w:t>Конкурсанты получат сертификаты участников (при наличии не менее 60% оригинальности буктрейлера, презентации; при наличии не менее 70% оригинальности читательского эссе), которые будут отправлены в электронном виде организаторами после проведения конкурса.</w:t>
      </w:r>
      <w:r>
        <w:rPr/>
        <w:t xml:space="preserve"> 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Партнеры Конкурса имеют право учредить специальные номинации и призы для участников Конкурса. 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Информация о проведении Конкурса и его результатах является открытой и размещается на сайтах организаторов и на портале НООС.</w:t>
      </w:r>
    </w:p>
    <w:p>
      <w:pPr>
        <w:pStyle w:val="12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Требования к конкурсным работам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В номинации «Презентация по произведению современной отечественной или зарубежной детско-юношеской литературы начала XXI в.» участники представляют одну конкурсную работу (презентацию) по произведению современной детско-юношеской литературы начала XXI в.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номинации «Буктрейлер по произведению современной отечественной или зарубежной детско-юношеской литературы начала XXI в.» участники представляют одну конкурсную работу (буктрейлер) по произведению современной детско-юношеской литературы начала XXI в.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номинации «Читательское эссе по произведению современной отечественной или зарубежной детско-юношеской литературы начала XXI в.» участники представляют одну конкурсную работу (читательское эссе) по произведению современной детско-юношеской литературы начала XXI в.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Литературные произведения для создания буктрейлера, презентации или исследовательской работы выбираются участниками самостоятельно.</w:t>
      </w:r>
      <w:r>
        <w:rPr/>
        <w:t xml:space="preserve"> 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произведения рекомендуем ориентироваться на литературные премии и конкурсы, занимающиеся продвижением детской и юношеской книги. См.: Международный конкурс имени Сергея Михалкова, Всероссийский конкурс на лучшее литературное произведение для детей и юношества «Книгуру», Международная детская литературная премия имени писателя Владислава Петровича Крапивина, номинации «Детям XXI века» и «Поколение Некст» Национального конкурса «Книга года – 2023» и другие. Ссылки на сайты:</w:t>
      </w:r>
    </w:p>
    <w:p>
      <w:pPr>
        <w:pStyle w:val="1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http://kniguru.info – сайт конкурса «Книгуру»;</w:t>
      </w:r>
    </w:p>
    <w:p>
      <w:pPr>
        <w:pStyle w:val="1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http://www.svmihalkov.ru/konkurs – сайт конкурса имени Сергея Михалкова;</w:t>
      </w:r>
    </w:p>
    <w:p>
      <w:pPr>
        <w:pStyle w:val="1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https://lit-parus.ru – сайт премии имени писателя Владислава Петровича Крапивина;</w:t>
      </w:r>
    </w:p>
    <w:p>
      <w:pPr>
        <w:pStyle w:val="1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hyperlink r:id="rId2">
        <w:r>
          <w:rPr>
            <w:rFonts w:ascii="Times New Roman" w:hAnsi="Times New Roman"/>
            <w:sz w:val="28"/>
            <w:szCs w:val="28"/>
          </w:rPr>
          <w:t>http://newbook-awards.ru/</w:t>
        </w:r>
      </w:hyperlink>
      <w:r>
        <w:rPr/>
        <w:t xml:space="preserve"> </w:t>
      </w:r>
      <w:r>
        <w:rPr>
          <w:rFonts w:ascii="Times New Roman" w:hAnsi="Times New Roman"/>
          <w:sz w:val="28"/>
          <w:szCs w:val="28"/>
        </w:rPr>
        <w:t>– сайт литературный конкурса</w:t>
      </w:r>
      <w:r>
        <w:rPr/>
        <w:t xml:space="preserve"> «</w:t>
      </w:r>
      <w:r>
        <w:rPr>
          <w:rFonts w:ascii="Times New Roman" w:hAnsi="Times New Roman"/>
          <w:sz w:val="28"/>
          <w:szCs w:val="28"/>
        </w:rPr>
        <w:t>Новая детская книга»;</w:t>
        <w:br/>
        <w:t xml:space="preserve">5) </w:t>
      </w:r>
      <w:hyperlink r:id="rId3">
        <w:r>
          <w:rPr>
            <w:rFonts w:ascii="Times New Roman" w:hAnsi="Times New Roman"/>
            <w:sz w:val="28"/>
            <w:szCs w:val="28"/>
          </w:rPr>
          <w:t>https://yppremia.ru/collections</w:t>
        </w:r>
      </w:hyperlink>
      <w:r>
        <w:rPr>
          <w:rFonts w:ascii="Times New Roman" w:hAnsi="Times New Roman"/>
          <w:sz w:val="28"/>
          <w:szCs w:val="28"/>
        </w:rPr>
        <w:t xml:space="preserve"> – подборка книг с детской оптикой на взрослый мир «Маленький друг» (литературная премия «Ясная Поляна»).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надежным помощником в рекомендации книжных новинок является каталог «100 лучших новых книг для детей и подростков» –экспертный, иллюстрированный, аннотированный каталог, подготовленный сотрудниками московской детской библиотеки им. Гайдара, издательской группой «ГРАНД-ФАИР» и издательством «Самокат». См. ссылку на сайт московской Центральной городской детской библиотеки имени А. П. Гайдара, на котором представлены каталоги за 2007–2023 гг. (</w:t>
      </w:r>
      <w:hyperlink r:id="rId4">
        <w:r>
          <w:rPr>
            <w:rFonts w:ascii="Times New Roman" w:hAnsi="Times New Roman"/>
            <w:sz w:val="28"/>
            <w:szCs w:val="28"/>
          </w:rPr>
          <w:t>http://www.gaidarovka.ru/knigi/100-luchshikh-knig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 конкурс принимаются работы в формате презентации, буктрейлера или читательского эссе.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– это последовательность сменяющих друг друга слайдов, которые могут содержать текст, рисунок, диаграмму, таблицу, видеофрагмент, кнопки перехода и сопровождаться звуковым оформлением. Объекты на слайдах могут возникать в нужный момент по желанию автора (анимация).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Буктрейлер (booktrailer) – короткий видеоролик, визуализирующий содержание книги и демонстрирующий самые яркие и узнаваемые моменты произведения.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буктрейлера или презентации должно раскрывать самые интересные, яркие моменты художественного произведения, интриговать потенциального читателя; вызывать у него желание прочесть книгу; создать эмоциональное впечатление о книге.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Читательское эссе (франц. essai – попытка, проба, очерк) – прозаическое сочинение небольшого объема и свободной композиции, выражающее индивидуальные впечатления, раздумья о литературном произведении, его смысле и форме.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Читательское эссе должно раскрывать поэтику, язык, проблематику художественного произведения современной детско-юношеской литературы начала XXI 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Конкурсные работы не должны нарушать моральные, этические нормы, законодательство РФ.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Конкурсные работы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должны соответствовать традиционным российским духовно-нравственным ценностям.</w:t>
      </w:r>
    </w:p>
    <w:p>
      <w:pPr>
        <w:pStyle w:val="Default"/>
        <w:spacing w:before="120" w:after="12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6.7. Требования к </w:t>
      </w:r>
      <w:r>
        <w:rPr>
          <w:b/>
          <w:sz w:val="28"/>
          <w:szCs w:val="28"/>
        </w:rPr>
        <w:t>оформлению</w:t>
      </w:r>
      <w:r>
        <w:rPr>
          <w:b/>
          <w:bCs/>
          <w:sz w:val="28"/>
          <w:szCs w:val="28"/>
        </w:rPr>
        <w:t xml:space="preserve"> буктрейлер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: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буктрейлер может быть выполнен в любой технике (кино, анимация, слайд-шоу с цитатами, иллюстрациями, книжными разворотами, рисунками, фотографиями и т д); в любом жанре (мультфильм, видеофильм, музыкальный клип, рекламный ролик);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буктрейлер может быть исполнен в формате MPEG-4;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продолжительность буктрейлера </w:t>
      </w:r>
      <w:r>
        <w:rPr>
          <w:b/>
          <w:sz w:val="28"/>
          <w:szCs w:val="28"/>
        </w:rPr>
        <w:t>не должна превышать 4-х минут</w:t>
      </w:r>
      <w:r>
        <w:rPr>
          <w:sz w:val="28"/>
          <w:szCs w:val="28"/>
        </w:rPr>
        <w:t xml:space="preserve"> (включая титры);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конкурсные работы предоставляются с указанием авторства используемых материалов (аудио-, видео- и фотоматериалы, текст, рисунки и пр.); в противном случае ответственность за нарушение прав третьих лиц возлагается на участника;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 первом кадре (слайде) буктрейлера необходимо указать название конкурса, название книги, имя ее автора. Титры к буктрейлеру должны содержать: ФИО (полностью) автора, место учебы (с указанием курса/класса); отражается ФИО (полностью), должность руководителя (педагога), если таковой имеется. Участники IV категории указывают место работы (с указанием должности). Участники V категории указывают состав семейной команды: ФИО (полностью) родителей/законных представителей, детей школьного возраста, воспитывающиеся в данной семье (с указанием места учебы и класса). Последний слайд должен содержать ссылки на используемые источники;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 конкурсной работе необходимо приложить файл (в формате Word)</w:t>
      </w:r>
      <w:r>
        <w:rPr/>
        <w:t xml:space="preserve"> </w:t>
      </w:r>
      <w:r>
        <w:rPr>
          <w:sz w:val="28"/>
          <w:szCs w:val="28"/>
        </w:rPr>
        <w:t>со стенограммой текста в кадре видеоролика и закадрового дикторского текста видеоролика (если в ролике эти тексты имеются);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На конкурс принимаются самостоятельно выполненные работы, содержащие не менее 60% процентов оригинального  материала. </w:t>
      </w:r>
    </w:p>
    <w:p>
      <w:pPr>
        <w:pStyle w:val="Default"/>
        <w:spacing w:before="120" w:after="120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6.8. Требования к оформлению презентации: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презентация должна быть выполнена в формате PPT или PPTX; программное обеспечение для создания презентаций – Power Point (Microsoft office 2003 или Microsoft office 2007);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в презентации можно использовать любые возможности программы Power Point (вставка видео, текста, фото, звука, объектов WordArt, анимации на смену слайдов и на отдельные объекты, использование гиперссылок и управляющих кнопок и т.п.);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презентация должна содержать не более 20 слайдов; продолжительность презентации – не более 10 минут;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конкурсная работа предоставляется с указанием авторства используемых материалов (аудио-, видео- и фотоматериалы, текст, рисунки и пр.); в противном случае ответственность за нарушение прав третьих лиц возлагается на участника.</w:t>
      </w:r>
    </w:p>
    <w:p>
      <w:pPr>
        <w:pStyle w:val="12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первый слайд презентации – титульный. На нем указываются: название конкурса, название работы, ФИО (полностью) автора, место учебы (с указанием курса/класса); отражается ФИО (полностью), должность руководителя (педагога), если таковой имеется. Участники IV категории указывают место работы (с указанием должности). Участники V категории указывают состав семейной команды: ФИО (полностью) родителей/законных представителей, детей школьного возраста, воспитывающиеся в данной семье (с указанием места учебы и класса).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Последний слайд должен содержать ссылки на используемые источники;  </w:t>
      </w:r>
      <w:r>
        <w:rPr>
          <w:sz w:val="28"/>
          <w:szCs w:val="28"/>
        </w:rPr>
        <w:t xml:space="preserve">      </w:t>
      </w:r>
    </w:p>
    <w:p>
      <w:pPr>
        <w:pStyle w:val="12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 конкурсной работе необходимо приложить файл (в формате Word) с текстом, который содержится в презентации.</w:t>
      </w:r>
      <w:r>
        <w:rPr/>
        <w:t xml:space="preserve"> 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На конкурс принимаются самостоятельно выполненные работы, содержащие не менее 60% процентов оригинального  материала. </w:t>
      </w:r>
    </w:p>
    <w:p>
      <w:pPr>
        <w:pStyle w:val="12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6.9. Требования к оформлению</w:t>
      </w:r>
      <w:r>
        <w:rPr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читательского эссе: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первая страница – титульная. На ней указываются: название конкурса, название работы, ФИО (полностью) автора, место учебы (с указанием курса/класса); отражается ФИО (полностью), должность руководителя (педагога), если таковой имеется. Участники IV категории указывают место работы (с указанием должности)</w:t>
      </w:r>
      <w:r>
        <w:rPr/>
        <w:t xml:space="preserve">. </w:t>
      </w:r>
      <w:r>
        <w:rPr>
          <w:rFonts w:ascii="Times New Roman" w:hAnsi="Times New Roman"/>
          <w:sz w:val="28"/>
          <w:szCs w:val="28"/>
        </w:rPr>
        <w:t>Участники V категории указывают состав семейной команды: ФИО (полностью) родителей/законных представителей, детей школьного возраста, воспитывающиеся в данной семье (с указанием места учебы и класса);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объём – от 5 до 7 страниц (без титульного листа);</w:t>
      </w:r>
    </w:p>
    <w:p>
      <w:pPr>
        <w:pStyle w:val="Normal"/>
        <w:ind w:firstLine="709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Microsoft Word (*.doc, *.docx);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поля (верхнее, нижнее, левое, правое) – по 2 см.;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шрифт: размер (кегль) – 14, тип – Times New Roman;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выравнивание – по ширине;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абзацный отступ – 1 см.;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межстрочный интервал – 1,5;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примеры из художественного произведения оформляются курсивом.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На конкурс принимаются самостоятельно выполненные работы, содержащие не менее 70% процентов оригинального текста. </w:t>
      </w:r>
    </w:p>
    <w:p>
      <w:pPr>
        <w:pStyle w:val="12"/>
        <w:spacing w:lineRule="auto" w:line="240" w:before="0" w:after="0"/>
        <w:ind w:firstLine="709"/>
        <w:jc w:val="both"/>
        <w:rPr/>
      </w:pPr>
      <w:r>
        <w:rPr/>
      </w:r>
    </w:p>
    <w:p>
      <w:pPr>
        <w:pStyle w:val="12"/>
        <w:spacing w:lineRule="auto" w:line="240" w:before="120" w:after="120"/>
        <w:jc w:val="center"/>
        <w:rPr/>
      </w:pPr>
      <w:r>
        <w:rPr>
          <w:rFonts w:ascii="Times New Roman" w:hAnsi="Times New Roman"/>
          <w:b/>
          <w:sz w:val="28"/>
          <w:szCs w:val="28"/>
        </w:rPr>
        <w:t>VII. Критерии оценивания конкурсных работ и работа жюри</w:t>
      </w:r>
    </w:p>
    <w:p>
      <w:pPr>
        <w:pStyle w:val="Default"/>
        <w:spacing w:before="120" w:after="120"/>
        <w:ind w:firstLine="709"/>
        <w:jc w:val="both"/>
        <w:rPr/>
      </w:pPr>
      <w:r>
        <w:rPr>
          <w:sz w:val="28"/>
          <w:szCs w:val="28"/>
        </w:rPr>
        <w:t>7.1.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Жюри конкурса формируется организаторами конкурса. Жюри рассматривает присланные работы в течение 30 дней со дня окончания срока приема работ.</w:t>
      </w:r>
    </w:p>
    <w:p>
      <w:pPr>
        <w:pStyle w:val="Default"/>
        <w:spacing w:before="120" w:after="120"/>
        <w:ind w:firstLine="709"/>
        <w:jc w:val="both"/>
        <w:rPr/>
      </w:pPr>
      <w:r>
        <w:rPr>
          <w:sz w:val="28"/>
          <w:szCs w:val="28"/>
        </w:rPr>
        <w:t>7.2.</w:t>
      </w:r>
      <w:r>
        <w:rPr>
          <w:b/>
          <w:sz w:val="28"/>
          <w:szCs w:val="28"/>
        </w:rPr>
        <w:t xml:space="preserve"> Критерии оценивания буктрейлеров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мультимедийных презентаций: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самостоятельность (не менее 60% процентов оригинальности);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соответствие тематике Конкурса и номинации;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достоверность и ценность представленной информации; 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наличие ссылок на источники информации;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информативность (полнота и глубина раскрытия содержания книги);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оригинальность содержания и оформления материалов (не менее 60% процентов оригинальности);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структурированность конкурсных материалов;</w:t>
      </w:r>
    </w:p>
    <w:p>
      <w:pPr>
        <w:pStyle w:val="Default"/>
        <w:ind w:firstLine="709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дизайн конкурсной работы (эстетичность, оправданность применения различных эффектов);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соответствие правилам и нормам русского литературного языка, адекватность использованных языковых средств;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проявление личностной позиции участника Конкурса;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>творческий подход в создании презентации или буктрейлера; использование эффективных методов продвижения книги, форм представления материала; интерактивных элементов общения с читателями.</w:t>
      </w:r>
    </w:p>
    <w:p>
      <w:pPr>
        <w:pStyle w:val="Default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b/>
          <w:sz w:val="28"/>
          <w:szCs w:val="28"/>
        </w:rPr>
        <w:t xml:space="preserve"> Критерии оценивания</w:t>
      </w:r>
      <w:r>
        <w:rPr/>
        <w:t xml:space="preserve"> </w:t>
      </w:r>
      <w:r>
        <w:rPr>
          <w:b/>
          <w:sz w:val="28"/>
          <w:szCs w:val="28"/>
        </w:rPr>
        <w:t>читательского эссе: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самостоятельность (не </w:t>
      </w:r>
      <w:r>
        <w:rPr>
          <w:color w:val="auto"/>
          <w:sz w:val="28"/>
          <w:szCs w:val="28"/>
        </w:rPr>
        <w:t>менее 70%</w:t>
      </w:r>
      <w:r>
        <w:rPr>
          <w:sz w:val="28"/>
          <w:szCs w:val="28"/>
        </w:rPr>
        <w:t xml:space="preserve"> процентов оригинальности);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соответствие тематике Конкурса и номинации;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аргументированность основных идей и выводов;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опора на текст (примеры, цитаты, отсылки);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композиционная целостность;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творческий подход.</w:t>
      </w:r>
    </w:p>
    <w:p>
      <w:pPr>
        <w:pStyle w:val="12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>
      <w:pPr>
        <w:pStyle w:val="13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всем вопросам проведения конкурса обращаться:</w:t>
      </w:r>
    </w:p>
    <w:p>
      <w:pPr>
        <w:pStyle w:val="13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к Колесовой Светлане Николаевне, члену оргкомитета конкурса, канд. филол. наук, преподавателю кафедры философии и гуманитарных наук ФГБОУ ВО «НГУЭУ», тел. 8-913-945-22-99,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prochital.knigu@yandex.ru;</w:t>
      </w:r>
    </w:p>
    <w:p>
      <w:pPr>
        <w:sectPr>
          <w:headerReference w:type="default" r:id="rId6"/>
          <w:type w:val="nextPage"/>
          <w:pgSz w:w="11906" w:h="16838"/>
          <w:pgMar w:left="1418" w:right="851" w:gutter="0" w:header="708" w:top="851" w:footer="0" w:bottom="851"/>
          <w:pgNumType w:fmt="decimal"/>
          <w:formProt w:val="false"/>
          <w:textDirection w:val="lrTb"/>
          <w:docGrid w:type="default" w:linePitch="360" w:charSpace="12288"/>
        </w:sectPr>
        <w:pStyle w:val="13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к Монаховой Людмиле Аркадьевне,</w:t>
      </w:r>
      <w:r>
        <w:rPr>
          <w:rFonts w:eastAsia="Calibri" w:cs="" w:ascii="Times New Roman" w:hAnsi="Times New Roman" w:cstheme="minorBidi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директору фонда «Родное слово»,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члену</w:t>
      </w:r>
      <w:r>
        <w:rPr>
          <w:rFonts w:ascii="Times New Roman" w:hAnsi="Times New Roman"/>
          <w:color w:val="000000"/>
          <w:sz w:val="28"/>
          <w:szCs w:val="28"/>
        </w:rPr>
        <w:t xml:space="preserve"> оргкомитета конкурса, тел. 8-953-771-72-59, e–mail: </w:t>
      </w:r>
      <w:hyperlink r:id="rId5">
        <w:r>
          <w:rPr>
            <w:rFonts w:ascii="Times New Roman" w:hAnsi="Times New Roman"/>
            <w:sz w:val="28"/>
            <w:szCs w:val="28"/>
            <w:lang w:val="en-US"/>
          </w:rPr>
          <w:t>ludmila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monakhova</w:t>
        </w:r>
        <w:r>
          <w:rPr>
            <w:rFonts w:ascii="Times New Roman" w:hAnsi="Times New Roman"/>
            <w:sz w:val="28"/>
            <w:szCs w:val="28"/>
          </w:rPr>
          <w:t>@</w:t>
        </w:r>
        <w:r>
          <w:rPr>
            <w:rFonts w:ascii="Times New Roman" w:hAnsi="Times New Roman"/>
            <w:sz w:val="28"/>
            <w:szCs w:val="28"/>
            <w:lang w:val="en-US"/>
          </w:rPr>
          <w:t>gmail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com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12"/>
        <w:numPr>
          <w:ilvl w:val="0"/>
          <w:numId w:val="0"/>
        </w:numPr>
        <w:spacing w:lineRule="auto" w:line="240" w:before="0" w:after="120"/>
        <w:ind w:left="6381" w:hanging="0"/>
        <w:outlineLvl w:val="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 к Положению</w:t>
      </w:r>
    </w:p>
    <w:p>
      <w:pPr>
        <w:pStyle w:val="12"/>
        <w:numPr>
          <w:ilvl w:val="0"/>
          <w:numId w:val="0"/>
        </w:numPr>
        <w:spacing w:lineRule="auto" w:line="240" w:before="0" w:after="120"/>
        <w:ind w:left="0" w:hanging="0"/>
        <w:jc w:val="center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Правила подачи анкеты-заявки</w:t>
      </w:r>
    </w:p>
    <w:p>
      <w:pPr>
        <w:pStyle w:val="12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Анкета-заявка загружается в виде электронного файла в формате Word.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именуется фамилией (Ф. И. О.) заявителя. Например: заявка Ивановой А.М.</w:t>
      </w:r>
    </w:p>
    <w:p>
      <w:pPr>
        <w:pStyle w:val="12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подачи заявок:</w:t>
      </w:r>
      <w:r>
        <w:rPr>
          <w:rFonts w:ascii="Times New Roman" w:hAnsi="Times New Roman"/>
          <w:sz w:val="24"/>
          <w:szCs w:val="24"/>
        </w:rPr>
        <w:t xml:space="preserve"> до 22 апреля 2024 года.</w:t>
      </w:r>
    </w:p>
    <w:p>
      <w:pPr>
        <w:pStyle w:val="12"/>
        <w:spacing w:lineRule="auto" w:line="240" w:before="12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АНКЕТА-ЗАЯВКА</w:t>
      </w:r>
    </w:p>
    <w:p>
      <w:pPr>
        <w:pStyle w:val="12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участие в </w:t>
      </w:r>
    </w:p>
    <w:p>
      <w:pPr>
        <w:pStyle w:val="12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межрегиональном конкурсе </w:t>
      </w:r>
      <w:r>
        <w:rPr>
          <w:rFonts w:ascii="Times New Roman" w:hAnsi="Times New Roman"/>
          <w:b/>
          <w:bCs/>
          <w:sz w:val="24"/>
          <w:szCs w:val="24"/>
        </w:rPr>
        <w:t>«ПРОчитал – ПРОдвинь книгу: открытия в современной детско-юношеской литературе»</w:t>
      </w:r>
      <w:r>
        <w:rPr>
          <w:rFonts w:ascii="Times New Roman" w:hAnsi="Times New Roman"/>
          <w:bCs/>
          <w:sz w:val="24"/>
          <w:szCs w:val="24"/>
        </w:rPr>
        <w:t xml:space="preserve"> в 2024 году</w:t>
      </w:r>
    </w:p>
    <w:p>
      <w:pPr>
        <w:pStyle w:val="12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7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58"/>
        <w:gridCol w:w="4678"/>
        <w:gridCol w:w="4549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 (презентация/буктрейлер/читательское эссе):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участников (I категория/ II категория/ III категория/</w:t>
            </w:r>
          </w:p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категория/ V категория):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участия (индивидуальное/командное)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(область, город, район)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обучения (полное и  сокращенное</w:t>
            </w:r>
            <w:r>
              <w:rPr>
                <w:rFonts w:ascii="Roboto-Regular" w:hAnsi="Roboto-Regular"/>
                <w:color w:val="2D2F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(по Уставу), класс обучения)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(полное и краткое название учреждения (по Уставу), должность)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 адрес электронной почты (e–mail)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внешний ресурс, на котором размещена презентация или буктрейлер (ссылка на файлообменник (Яндекс Диски т.п.) для скачивания конкурсной работы)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Для школьников и студентов:</w:t>
            </w:r>
          </w:p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педагога/наставника, контактная информация (номер мобильного и рабочего телефона, действующий адрес электронной почты)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участников I категории (для школьников) и участников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категории (для членов семейных команд):</w:t>
            </w:r>
          </w:p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одного из родителей (законных представителей),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12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/>
        </w:rPr>
      </w:pPr>
      <w:r>
        <w:rPr/>
      </w:r>
    </w:p>
    <w:sectPr>
      <w:headerReference w:type="default" r:id="rId7"/>
      <w:type w:val="nextPage"/>
      <w:pgSz w:w="11906" w:h="16838"/>
      <w:pgMar w:left="851" w:right="1418" w:gutter="0" w:header="708" w:top="851" w:footer="0" w:bottom="851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-Regula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04773318"/>
    </w:sdtPr>
    <w:sdtContent>
      <w:p>
        <w:pPr>
          <w:pStyle w:val="Style25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sz w:val="20"/>
            <w:rFonts w:ascii="Times New Roman" w:hAnsi="Times New Roman"/>
          </w:rPr>
          <w:instrText xml:space="preserve"> PAGE </w:instrText>
        </w:r>
        <w:r>
          <w:rPr>
            <w:sz w:val="20"/>
            <w:rFonts w:ascii="Times New Roman" w:hAnsi="Times New Roman"/>
          </w:rPr>
          <w:fldChar w:fldCharType="separate"/>
        </w:r>
        <w:r>
          <w:rPr>
            <w:sz w:val="20"/>
            <w:rFonts w:ascii="Times New Roman" w:hAnsi="Times New Roman"/>
          </w:rPr>
          <w:t>7</w:t>
        </w:r>
        <w:r>
          <w:rPr>
            <w:sz w:val="20"/>
            <w:rFonts w:ascii="Times New Roman" w:hAnsi="Times New Roman"/>
          </w:rPr>
          <w:fldChar w:fldCharType="end"/>
        </w:r>
      </w:p>
      <w:p>
        <w:pPr>
          <w:pStyle w:val="Style25"/>
          <w:tabs>
            <w:tab w:val="clear" w:pos="4677"/>
            <w:tab w:val="clear" w:pos="9355"/>
          </w:tabs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081801927"/>
    </w:sdtPr>
    <w:sdtContent>
      <w:p>
        <w:pPr>
          <w:pStyle w:val="Style25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sz w:val="20"/>
            <w:rFonts w:ascii="Times New Roman" w:hAnsi="Times New Roman"/>
          </w:rPr>
          <w:instrText xml:space="preserve"> PAGE </w:instrText>
        </w:r>
        <w:r>
          <w:rPr>
            <w:sz w:val="20"/>
            <w:rFonts w:ascii="Times New Roman" w:hAnsi="Times New Roman"/>
          </w:rPr>
          <w:fldChar w:fldCharType="separate"/>
        </w:r>
        <w:r>
          <w:rPr>
            <w:sz w:val="20"/>
            <w:rFonts w:ascii="Times New Roman" w:hAnsi="Times New Roman"/>
          </w:rPr>
          <w:t>8</w:t>
        </w:r>
        <w:r>
          <w:rPr>
            <w:sz w:val="20"/>
            <w:rFonts w:ascii="Times New Roman" w:hAnsi="Times New Roman"/>
          </w:rPr>
          <w:fldChar w:fldCharType="end"/>
        </w:r>
      </w:p>
      <w:p>
        <w:pPr>
          <w:pStyle w:val="Style25"/>
          <w:tabs>
            <w:tab w:val="clear" w:pos="4677"/>
            <w:tab w:val="clear" w:pos="9355"/>
          </w:tabs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2"/>
    <w:link w:val="11"/>
    <w:uiPriority w:val="9"/>
    <w:qFormat/>
    <w:rsid w:val="00991563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2032ae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af3d99"/>
    <w:rPr>
      <w:color w:val="0000FF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99156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ddmd" w:customStyle="1">
    <w:name w:val="addmd"/>
    <w:basedOn w:val="DefaultParagraphFont"/>
    <w:qFormat/>
    <w:rsid w:val="00991563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91563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44b24"/>
    <w:rPr/>
  </w:style>
  <w:style w:type="character" w:styleId="Style17" w:customStyle="1">
    <w:name w:val="Нижний колонтитул Знак"/>
    <w:basedOn w:val="DefaultParagraphFont"/>
    <w:uiPriority w:val="99"/>
    <w:qFormat/>
    <w:rsid w:val="00644b24"/>
    <w:rPr/>
  </w:style>
  <w:style w:type="character" w:styleId="Style18" w:customStyle="1">
    <w:name w:val="Посещённая гиперссылка"/>
    <w:basedOn w:val="DefaultParagraphFont"/>
    <w:uiPriority w:val="99"/>
    <w:semiHidden/>
    <w:unhideWhenUsed/>
    <w:rsid w:val="007f4e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211a7"/>
    <w:rPr>
      <w:b/>
      <w:bCs/>
    </w:rPr>
  </w:style>
  <w:style w:type="paragraph" w:styleId="Style19" w:customStyle="1">
    <w:name w:val="Заголовок"/>
    <w:basedOn w:val="12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12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12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12"/>
    <w:qFormat/>
    <w:pPr>
      <w:suppressLineNumbers/>
    </w:pPr>
    <w:rPr>
      <w:rFonts w:cs="Droid Sans Devanagari"/>
    </w:rPr>
  </w:style>
  <w:style w:type="paragraph" w:styleId="12" w:customStyle="1">
    <w:name w:val="Обычный1"/>
    <w:uiPriority w:val="99"/>
    <w:qFormat/>
    <w:rsid w:val="00d8222a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12"/>
    <w:link w:val="Style15"/>
    <w:uiPriority w:val="99"/>
    <w:semiHidden/>
    <w:unhideWhenUsed/>
    <w:qFormat/>
    <w:rsid w:val="009915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12"/>
    <w:uiPriority w:val="34"/>
    <w:qFormat/>
    <w:rsid w:val="007401a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78494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e3063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12"/>
    <w:uiPriority w:val="99"/>
    <w:qFormat/>
    <w:rsid w:val="00a02891"/>
    <w:pPr>
      <w:spacing w:lineRule="auto" w:line="240" w:beforeAutospacing="1" w:afterAutospacing="1"/>
      <w:jc w:val="both"/>
    </w:pPr>
    <w:rPr>
      <w:rFonts w:ascii="Times New Roman" w:hAnsi="Times New Roman"/>
      <w:sz w:val="24"/>
      <w:szCs w:val="24"/>
    </w:rPr>
  </w:style>
  <w:style w:type="paragraph" w:styleId="Style24" w:customStyle="1">
    <w:name w:val="Колонтитул"/>
    <w:basedOn w:val="12"/>
    <w:qFormat/>
    <w:pPr/>
    <w:rPr/>
  </w:style>
  <w:style w:type="paragraph" w:styleId="Style25">
    <w:name w:val="Header"/>
    <w:basedOn w:val="12"/>
    <w:link w:val="Style16"/>
    <w:uiPriority w:val="99"/>
    <w:unhideWhenUsed/>
    <w:rsid w:val="00644b2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12"/>
    <w:link w:val="Style17"/>
    <w:uiPriority w:val="99"/>
    <w:unhideWhenUsed/>
    <w:rsid w:val="00644b2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Абзац списка1"/>
    <w:basedOn w:val="12"/>
    <w:qFormat/>
    <w:rsid w:val="00d978e6"/>
    <w:pPr>
      <w:spacing w:before="0" w:after="200"/>
      <w:ind w:left="720" w:hanging="0"/>
      <w:contextualSpacing/>
    </w:pPr>
    <w:rPr>
      <w:rFonts w:ascii="Calibri" w:hAnsi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c810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ewbook-awards.ru/" TargetMode="External"/><Relationship Id="rId3" Type="http://schemas.openxmlformats.org/officeDocument/2006/relationships/hyperlink" Target="https://yppremia.ru/collections" TargetMode="External"/><Relationship Id="rId4" Type="http://schemas.openxmlformats.org/officeDocument/2006/relationships/hyperlink" Target="http://www.gaidarovka.ru/knigi/100-luchshikh-knig" TargetMode="External"/><Relationship Id="rId5" Type="http://schemas.openxmlformats.org/officeDocument/2006/relationships/hyperlink" Target="mailto:ludmila.monakhova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BACA-7AD1-4E2C-B9D8-24FB0F45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LibreOffice/7.3.7.2$Linux_X86_64 LibreOffice_project/30$Build-2</Application>
  <AppVersion>15.0000</AppVersion>
  <Pages>8</Pages>
  <Words>2099</Words>
  <Characters>15629</Characters>
  <CharactersWithSpaces>17670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2024-02-18T17:25:00Z</dcterms:created>
  <dc:creator>svetlana kolesova</dc:creator>
  <dc:description/>
  <dc:language>ru-RU</dc:language>
  <cp:lastModifiedBy/>
  <cp:lastPrinted>2021-05-17T04:55:00Z</cp:lastPrinted>
  <dcterms:modified xsi:type="dcterms:W3CDTF">2024-02-20T14:22:28Z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